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D31BF6">
          <w:pPr>
            <w:rPr>
              <w:rFonts w:ascii="Arial" w:hAnsi="Arial" w:cs="Arial"/>
              <w:b/>
              <w:bCs/>
              <w:sz w:val="20"/>
            </w:rPr>
          </w:pPr>
        </w:p>
      </w:sdtContent>
    </w:sdt>
    <w:p w14:paraId="160D893D" w14:textId="71452BCC" w:rsidR="00CF5AE7" w:rsidRPr="00CF5AE7" w:rsidRDefault="007D4FEC" w:rsidP="007161A5">
      <w:pPr>
        <w:rPr>
          <w:rFonts w:ascii="Arial" w:hAnsi="Arial" w:cs="Arial"/>
        </w:rPr>
      </w:pPr>
      <w:r>
        <w:rPr>
          <w:noProof/>
          <w:lang w:val="en-AU" w:eastAsia="en-AU"/>
        </w:rPr>
        <mc:AlternateContent>
          <mc:Choice Requires="wps">
            <w:drawing>
              <wp:anchor distT="0" distB="0" distL="114300" distR="114300" simplePos="0" relativeHeight="251669504" behindDoc="0" locked="0" layoutInCell="1" allowOverlap="1" wp14:anchorId="0AF5771E" wp14:editId="05E7649D">
                <wp:simplePos x="0" y="0"/>
                <wp:positionH relativeFrom="column">
                  <wp:posOffset>687070</wp:posOffset>
                </wp:positionH>
                <wp:positionV relativeFrom="paragraph">
                  <wp:posOffset>38735</wp:posOffset>
                </wp:positionV>
                <wp:extent cx="2690037" cy="261937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2690037"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385B48C5" w:rsidR="007D4FEC" w:rsidRPr="0008556E" w:rsidRDefault="00D31BF6" w:rsidP="007D4FEC">
                            <w:pPr>
                              <w:pStyle w:val="ListParagraph"/>
                              <w:ind w:left="360"/>
                              <w:rPr>
                                <w:rFonts w:ascii="Arial" w:hAnsi="Arial" w:cs="Arial"/>
                                <w:b/>
                                <w:sz w:val="28"/>
                              </w:rPr>
                            </w:pPr>
                            <w:hyperlink r:id="rId9"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771E" id="Text Box 1" o:spid="_x0000_s1027" type="#_x0000_t202" style="position:absolute;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" fillcolor="yellow" strokecolor="red" strokeweight=".5pt">
                <v:stroke dashstyle="dashDot"/>
                <v:textbo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385B48C5" w:rsidR="007D4FEC" w:rsidRPr="0008556E" w:rsidRDefault="00D31BF6" w:rsidP="007D4FEC">
                      <w:pPr>
                        <w:pStyle w:val="ListParagraph"/>
                        <w:ind w:left="360"/>
                        <w:rPr>
                          <w:rFonts w:ascii="Arial" w:hAnsi="Arial" w:cs="Arial"/>
                          <w:b/>
                          <w:sz w:val="28"/>
                        </w:rPr>
                      </w:pPr>
                      <w:hyperlink r:id="rId10"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15FD5B4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331D596" w:rsidR="00965EC4" w:rsidRDefault="00670F30" w:rsidP="00965EC4">
                            <w:pPr>
                              <w:jc w:val="right"/>
                              <w:rPr>
                                <w:color w:val="404040" w:themeColor="text1" w:themeTint="BF"/>
                                <w:sz w:val="36"/>
                                <w:szCs w:val="36"/>
                              </w:rPr>
                            </w:pPr>
                            <w:r>
                              <w:rPr>
                                <w:color w:val="404040" w:themeColor="text1" w:themeTint="BF"/>
                                <w:sz w:val="36"/>
                                <w:szCs w:val="36"/>
                              </w:rPr>
                              <w:t xml:space="preserve">As at </w:t>
                            </w:r>
                            <w:r w:rsidR="00D31BF6">
                              <w:rPr>
                                <w:color w:val="404040" w:themeColor="text1" w:themeTint="BF"/>
                                <w:sz w:val="36"/>
                                <w:szCs w:val="36"/>
                              </w:rPr>
                              <w:t xml:space="preserve">30 </w:t>
                            </w:r>
                            <w:r w:rsidR="00D31BF6">
                              <w:rPr>
                                <w:color w:val="404040" w:themeColor="text1" w:themeTint="BF"/>
                                <w:sz w:val="36"/>
                                <w:szCs w:val="36"/>
                              </w:rPr>
                              <w:t>September</w:t>
                            </w:r>
                            <w:r w:rsidR="00795DA6">
                              <w:rPr>
                                <w:color w:val="404040" w:themeColor="text1" w:themeTint="BF"/>
                                <w:sz w:val="36"/>
                                <w:szCs w:val="36"/>
                              </w:rPr>
                              <w:t xml:space="preserve"> 202</w:t>
                            </w:r>
                            <w:r w:rsidR="004A23A2">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2FA274C4"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E712FE">
                              <w:rPr>
                                <w:rFonts w:ascii="Arial" w:hAnsi="Arial" w:cs="Arial"/>
                                <w:bCs/>
                                <w:sz w:val="28"/>
                                <w:szCs w:val="28"/>
                                <w:highlight w:val="yellow"/>
                              </w:rPr>
                              <w:t xml:space="preserve">High </w:t>
                            </w:r>
                            <w:r w:rsidR="00AF140D">
                              <w:rPr>
                                <w:rFonts w:ascii="Arial" w:hAnsi="Arial" w:cs="Arial"/>
                                <w:bCs/>
                                <w:sz w:val="28"/>
                                <w:szCs w:val="28"/>
                                <w:highlight w:val="yellow"/>
                              </w:rPr>
                              <w:t>Growth</w:t>
                            </w:r>
                            <w:r w:rsidR="0012009A">
                              <w:rPr>
                                <w:rFonts w:ascii="Arial" w:hAnsi="Arial" w:cs="Arial"/>
                                <w:bCs/>
                                <w:sz w:val="28"/>
                                <w:szCs w:val="28"/>
                                <w:highlight w:val="yellow"/>
                              </w:rPr>
                              <w:t xml:space="preserve"> Plus</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D"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331D596" w:rsidR="00965EC4" w:rsidRDefault="00670F30" w:rsidP="00965EC4">
                      <w:pPr>
                        <w:jc w:val="right"/>
                        <w:rPr>
                          <w:color w:val="404040" w:themeColor="text1" w:themeTint="BF"/>
                          <w:sz w:val="36"/>
                          <w:szCs w:val="36"/>
                        </w:rPr>
                      </w:pPr>
                      <w:r>
                        <w:rPr>
                          <w:color w:val="404040" w:themeColor="text1" w:themeTint="BF"/>
                          <w:sz w:val="36"/>
                          <w:szCs w:val="36"/>
                        </w:rPr>
                        <w:t xml:space="preserve">As at </w:t>
                      </w:r>
                      <w:r w:rsidR="00D31BF6">
                        <w:rPr>
                          <w:color w:val="404040" w:themeColor="text1" w:themeTint="BF"/>
                          <w:sz w:val="36"/>
                          <w:szCs w:val="36"/>
                        </w:rPr>
                        <w:t xml:space="preserve">30 </w:t>
                      </w:r>
                      <w:r w:rsidR="00D31BF6">
                        <w:rPr>
                          <w:color w:val="404040" w:themeColor="text1" w:themeTint="BF"/>
                          <w:sz w:val="36"/>
                          <w:szCs w:val="36"/>
                        </w:rPr>
                        <w:t>September</w:t>
                      </w:r>
                      <w:r w:rsidR="00795DA6">
                        <w:rPr>
                          <w:color w:val="404040" w:themeColor="text1" w:themeTint="BF"/>
                          <w:sz w:val="36"/>
                          <w:szCs w:val="36"/>
                        </w:rPr>
                        <w:t xml:space="preserve"> 202</w:t>
                      </w:r>
                      <w:r w:rsidR="004A23A2">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2FA274C4"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E712FE">
                        <w:rPr>
                          <w:rFonts w:ascii="Arial" w:hAnsi="Arial" w:cs="Arial"/>
                          <w:bCs/>
                          <w:sz w:val="28"/>
                          <w:szCs w:val="28"/>
                          <w:highlight w:val="yellow"/>
                        </w:rPr>
                        <w:t xml:space="preserve">High </w:t>
                      </w:r>
                      <w:r w:rsidR="00AF140D">
                        <w:rPr>
                          <w:rFonts w:ascii="Arial" w:hAnsi="Arial" w:cs="Arial"/>
                          <w:bCs/>
                          <w:sz w:val="28"/>
                          <w:szCs w:val="28"/>
                          <w:highlight w:val="yellow"/>
                        </w:rPr>
                        <w:t>Growth</w:t>
                      </w:r>
                      <w:r w:rsidR="0012009A">
                        <w:rPr>
                          <w:rFonts w:ascii="Arial" w:hAnsi="Arial" w:cs="Arial"/>
                          <w:bCs/>
                          <w:sz w:val="28"/>
                          <w:szCs w:val="28"/>
                          <w:highlight w:val="yellow"/>
                        </w:rPr>
                        <w:t xml:space="preserve"> Plus</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46045503" w14:textId="77777777" w:rsidR="00D31BF6" w:rsidRDefault="00D31BF6" w:rsidP="00D31BF6">
      <w:pPr>
        <w:spacing w:line="255" w:lineRule="exact"/>
        <w:jc w:val="both"/>
      </w:pPr>
      <w:r>
        <w:lastRenderedPageBreak/>
        <w:t>Global stocks were mixed, while bonds fell for a third consecutive quarter to 30 September. Dominating headlines was inflation news, central bank action to rein it in, a rising US dollar and worries about economic growth.</w:t>
      </w:r>
    </w:p>
    <w:p w14:paraId="2F3E3DAA" w14:textId="77777777" w:rsidR="00D31BF6" w:rsidRDefault="00D31BF6" w:rsidP="00D31BF6">
      <w:pPr>
        <w:spacing w:line="255" w:lineRule="exact"/>
        <w:jc w:val="both"/>
      </w:pPr>
      <w:r>
        <w:t>Sentiment shifted during the quarter. A nascent recovery in risk appetites from July to mid-August gave way to renewed selling in September when US consumer price data dented prior expectations that inflation was turning lower.</w:t>
      </w:r>
    </w:p>
    <w:p w14:paraId="01D079FA" w14:textId="77777777" w:rsidR="00D31BF6" w:rsidRDefault="00D31BF6" w:rsidP="00D31BF6">
      <w:pPr>
        <w:spacing w:line="255" w:lineRule="exact"/>
        <w:jc w:val="both"/>
      </w:pPr>
      <w:r>
        <w:t>Developed markets ended the quarter positive for unhedged Australian and New Zealand investors, but emerging markets suffered a fifth straight quarterly decline.</w:t>
      </w:r>
    </w:p>
    <w:p w14:paraId="35E42FC8" w14:textId="77777777" w:rsidR="00D31BF6" w:rsidRDefault="00D31BF6" w:rsidP="00D31BF6">
      <w:pPr>
        <w:spacing w:line="255" w:lineRule="exact"/>
        <w:jc w:val="both"/>
      </w:pPr>
      <w:r>
        <w:t>Most of the media’s attention was on inflation and central banks’ response. After hitting a 41-year high above 9%, US inflation had retreated to 8.3% by August, but remained above forecasts. UK inflation topped 10%, while Australian and NZ headline inflation rates were above 6% and 7% respectively in the year to June.</w:t>
      </w:r>
    </w:p>
    <w:p w14:paraId="0E09DBD6" w14:textId="77777777" w:rsidR="00D31BF6" w:rsidRDefault="00D31BF6" w:rsidP="00D31BF6">
      <w:pPr>
        <w:spacing w:line="255" w:lineRule="exact"/>
        <w:jc w:val="both"/>
      </w:pPr>
      <w:r>
        <w:t xml:space="preserve">Central bankers, meeting in August, pledged forceful action to combat inflation, though </w:t>
      </w:r>
      <w:proofErr w:type="spellStart"/>
      <w:r>
        <w:t>emphasised</w:t>
      </w:r>
      <w:proofErr w:type="spellEnd"/>
      <w:r>
        <w:t xml:space="preserve"> that, like the rest of the markets, they were </w:t>
      </w:r>
      <w:proofErr w:type="gramStart"/>
      <w:r>
        <w:t>data-dependent</w:t>
      </w:r>
      <w:proofErr w:type="gramEnd"/>
      <w:r>
        <w:t>.</w:t>
      </w:r>
    </w:p>
    <w:p w14:paraId="2B43527F" w14:textId="77777777" w:rsidR="00D31BF6" w:rsidRDefault="00D31BF6" w:rsidP="00D31BF6">
      <w:pPr>
        <w:spacing w:line="255" w:lineRule="exact"/>
        <w:jc w:val="both"/>
      </w:pPr>
      <w:r>
        <w:t>The US Federal Reserve led the way in tightening monetary policy, with three successive 75bps rate rises during the quarter. The European Central Bank upped rates by 125bps in two meetings, the Bank of England by 100bps.</w:t>
      </w:r>
    </w:p>
    <w:p w14:paraId="50C09CFD" w14:textId="77777777" w:rsidR="00D31BF6" w:rsidRDefault="00D31BF6" w:rsidP="00D31BF6">
      <w:pPr>
        <w:spacing w:line="255" w:lineRule="exact"/>
        <w:jc w:val="both"/>
      </w:pPr>
      <w:r>
        <w:t xml:space="preserve">The Reserve Bank of Australia raised its cash rate in three moves of 50bps in the September quarter, though stepped down to 25bps at the start of Q4. The Reserve Bank of NZ maintained a pace of 50bps hikes in July, </w:t>
      </w:r>
      <w:proofErr w:type="gramStart"/>
      <w:r>
        <w:t>August</w:t>
      </w:r>
      <w:proofErr w:type="gramEnd"/>
      <w:r>
        <w:t xml:space="preserve"> and October. </w:t>
      </w:r>
    </w:p>
    <w:p w14:paraId="0853815C" w14:textId="77777777" w:rsidR="00D31BF6" w:rsidRDefault="00D31BF6" w:rsidP="00D31BF6">
      <w:pPr>
        <w:spacing w:line="255" w:lineRule="exact"/>
        <w:jc w:val="both"/>
      </w:pPr>
      <w:r>
        <w:t xml:space="preserve">After downgrading its forecasts for global economic growth in July, the International Monetary Fund cited downside risks to its outlook from tighter financial conditions, the strengthening US dollar, higher </w:t>
      </w:r>
      <w:proofErr w:type="gramStart"/>
      <w:r>
        <w:t>inflation</w:t>
      </w:r>
      <w:proofErr w:type="gramEnd"/>
      <w:r>
        <w:t xml:space="preserve"> and geopolitical uncertainties arising from the ongoing conflict in Ukraine.</w:t>
      </w:r>
    </w:p>
    <w:p w14:paraId="06966C09" w14:textId="77777777" w:rsidR="00D31BF6" w:rsidRDefault="00D31BF6" w:rsidP="00D31BF6">
      <w:pPr>
        <w:spacing w:line="255" w:lineRule="exact"/>
        <w:jc w:val="both"/>
      </w:pPr>
      <w:r>
        <w:t>The combination of the higher US currency, global growth concerns and China’s ongoing slowdown were the backdrop for a retreat in commodity prices in the quarter, with crude oil falling from around $US120 to $80 a barrel.</w:t>
      </w:r>
    </w:p>
    <w:p w14:paraId="53BB3EEE" w14:textId="77777777" w:rsidR="00D31BF6" w:rsidRDefault="00D31BF6" w:rsidP="00D31BF6">
      <w:pPr>
        <w:spacing w:line="255" w:lineRule="exact"/>
        <w:jc w:val="both"/>
      </w:pPr>
      <w:r>
        <w:t xml:space="preserve">The broad-based rise in the USD also sparked intervention by the Bank of Japan in September to support the Japanese Yen for the first time in 24 years. A week later, the Bank of England intervened to support Gilts after the UK Government proposed unfunded tax cuts, triggering heavy bond selling. </w:t>
      </w:r>
    </w:p>
    <w:p w14:paraId="516A0A00" w14:textId="77777777" w:rsidR="00D31BF6" w:rsidRDefault="00D31BF6" w:rsidP="00D31BF6">
      <w:pPr>
        <w:spacing w:line="255" w:lineRule="exact"/>
        <w:jc w:val="both"/>
      </w:pPr>
      <w:r>
        <w:t>The global bond market, as measured by the Bloomberg Global Aggregate Bond Index, posted its third consecutive losing quarter with both term and credit premiums negative for the period. US Treasury 10-year yields reached a 12-year high above 4% in late September.</w:t>
      </w:r>
    </w:p>
    <w:p w14:paraId="6C0E7E29" w14:textId="77777777" w:rsidR="00D31BF6" w:rsidRDefault="00D31BF6" w:rsidP="00D31BF6">
      <w:pPr>
        <w:spacing w:line="255" w:lineRule="exact"/>
        <w:jc w:val="both"/>
      </w:pPr>
      <w:r>
        <w:t>The strength in the USD and resulting weakness in both the AUD and NZD cushioned offshore equity losses for unhedged investors in Australia and NZ.</w:t>
      </w:r>
    </w:p>
    <w:p w14:paraId="030AD4C6" w14:textId="77777777" w:rsidR="00D31BF6" w:rsidRDefault="00D31BF6" w:rsidP="00D31BF6">
      <w:pPr>
        <w:spacing w:line="255" w:lineRule="exact"/>
        <w:jc w:val="both"/>
      </w:pPr>
      <w:r>
        <w:t>While September was a negative month for equities overall, both the Australian and NZ markets still ended in positive territory for the quarter. In Australia, energy was the standout sector, while real estate and utilities were the worst performers. Air NZ and A2 Milk were two of the standout stocks in NZ.</w:t>
      </w:r>
    </w:p>
    <w:p w14:paraId="5191565E" w14:textId="77777777" w:rsidR="00D31BF6" w:rsidRDefault="00D31BF6" w:rsidP="00D31BF6">
      <w:pPr>
        <w:spacing w:line="255" w:lineRule="exact"/>
        <w:jc w:val="both"/>
      </w:pPr>
      <w:r>
        <w:t>There was no consistent pattern in the premiums. Value was positive in Australia and emerging markets, but negative in other developed markets. Small caps were negative in Australia and mixed elsewhere.</w:t>
      </w:r>
    </w:p>
    <w:p w14:paraId="4FAB34F5" w14:textId="77777777" w:rsidR="00D31BF6" w:rsidRDefault="00D31BF6" w:rsidP="00D31BF6">
      <w:pPr>
        <w:spacing w:line="255" w:lineRule="exact"/>
        <w:rPr>
          <w:rFonts w:ascii="Arial" w:eastAsia="Morningstar 1" w:hAnsi="Arial" w:cs="Arial"/>
          <w:sz w:val="20"/>
          <w:szCs w:val="20"/>
        </w:rPr>
      </w:pPr>
      <w:r>
        <w:rPr>
          <w:noProof/>
        </w:rPr>
        <w:drawing>
          <wp:anchor distT="0" distB="0" distL="114300" distR="114300" simplePos="0" relativeHeight="251671552" behindDoc="0" locked="0" layoutInCell="1" allowOverlap="1" wp14:anchorId="1EE11ECD" wp14:editId="3D675D0A">
            <wp:simplePos x="0" y="0"/>
            <wp:positionH relativeFrom="column">
              <wp:posOffset>-4445</wp:posOffset>
            </wp:positionH>
            <wp:positionV relativeFrom="paragraph">
              <wp:posOffset>58420</wp:posOffset>
            </wp:positionV>
            <wp:extent cx="1668780" cy="56197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61975"/>
                    </a:xfrm>
                    <a:prstGeom prst="rect">
                      <a:avLst/>
                    </a:prstGeom>
                    <a:noFill/>
                  </pic:spPr>
                </pic:pic>
              </a:graphicData>
            </a:graphic>
            <wp14:sizeRelH relativeFrom="page">
              <wp14:pctWidth>0</wp14:pctWidth>
            </wp14:sizeRelH>
            <wp14:sizeRelV relativeFrom="page">
              <wp14:pctHeight>0</wp14:pctHeight>
            </wp14:sizeRelV>
          </wp:anchor>
        </w:drawing>
      </w:r>
    </w:p>
    <w:p w14:paraId="761B7F8E" w14:textId="77777777" w:rsidR="00D31BF6" w:rsidRDefault="00D31BF6" w:rsidP="00D31BF6">
      <w:pPr>
        <w:spacing w:line="255" w:lineRule="exact"/>
        <w:rPr>
          <w:rFonts w:ascii="Arial" w:eastAsia="Morningstar 1" w:hAnsi="Arial" w:cs="Arial"/>
          <w:sz w:val="20"/>
          <w:szCs w:val="20"/>
        </w:rPr>
      </w:pPr>
    </w:p>
    <w:p w14:paraId="17F961A6" w14:textId="77777777" w:rsidR="00D31BF6" w:rsidRDefault="00D31BF6" w:rsidP="00D31BF6">
      <w:pPr>
        <w:spacing w:after="0" w:line="240" w:lineRule="auto"/>
        <w:jc w:val="both"/>
        <w:rPr>
          <w:rFonts w:ascii="Arial" w:hAnsi="Arial" w:cs="Arial"/>
          <w:noProof/>
          <w:sz w:val="16"/>
          <w:szCs w:val="16"/>
          <w:highlight w:val="yellow"/>
        </w:rPr>
      </w:pPr>
    </w:p>
    <w:p w14:paraId="5523E8E8" w14:textId="77777777" w:rsidR="00D31BF6" w:rsidRDefault="00D31BF6" w:rsidP="00D31BF6">
      <w:pPr>
        <w:spacing w:after="0" w:line="240" w:lineRule="auto"/>
        <w:jc w:val="both"/>
        <w:rPr>
          <w:rFonts w:ascii="Arial" w:hAnsi="Arial" w:cs="Arial"/>
          <w:noProof/>
          <w:sz w:val="16"/>
          <w:szCs w:val="16"/>
        </w:rPr>
      </w:pPr>
      <w:r>
        <w:rPr>
          <w:rFonts w:ascii="Arial" w:hAnsi="Arial" w:cs="Arial"/>
          <w:noProof/>
          <w:sz w:val="16"/>
          <w:szCs w:val="16"/>
          <w:highlight w:val="yellow"/>
        </w:rPr>
        <w:t>&lt;Adviser Name&gt;</w:t>
      </w:r>
    </w:p>
    <w:p w14:paraId="5DAAF0AF" w14:textId="77777777" w:rsidR="00D31BF6" w:rsidRDefault="00D31BF6" w:rsidP="00D31BF6">
      <w:pPr>
        <w:spacing w:after="0" w:line="240" w:lineRule="auto"/>
        <w:jc w:val="both"/>
        <w:rPr>
          <w:rFonts w:ascii="Arial" w:hAnsi="Arial" w:cs="Arial"/>
          <w:noProof/>
          <w:sz w:val="16"/>
          <w:szCs w:val="16"/>
        </w:rPr>
      </w:pPr>
      <w:r>
        <w:rPr>
          <w:rFonts w:ascii="Arial" w:hAnsi="Arial" w:cs="Arial"/>
          <w:noProof/>
          <w:sz w:val="16"/>
          <w:szCs w:val="16"/>
          <w:highlight w:val="yellow"/>
        </w:rPr>
        <w:t>&lt;Example Financial Services&gt;</w:t>
      </w:r>
    </w:p>
    <w:p w14:paraId="01E052B4" w14:textId="77777777" w:rsidR="00D31BF6" w:rsidRDefault="00D31BF6" w:rsidP="00D31BF6">
      <w:pPr>
        <w:spacing w:after="0" w:line="240" w:lineRule="auto"/>
        <w:jc w:val="both"/>
        <w:rPr>
          <w:rFonts w:ascii="Arial" w:hAnsi="Arial" w:cs="Arial"/>
          <w:noProof/>
          <w:sz w:val="14"/>
          <w:szCs w:val="14"/>
        </w:rPr>
      </w:pPr>
      <w:r>
        <w:rPr>
          <w:rFonts w:ascii="Arial" w:hAnsi="Arial" w:cs="Arial"/>
          <w:noProof/>
          <w:sz w:val="14"/>
          <w:szCs w:val="14"/>
          <w:highlight w:val="yellow"/>
        </w:rPr>
        <w:t>&lt;Insert Disclaimer&gt;</w:t>
      </w:r>
    </w:p>
    <w:p w14:paraId="15D170CD" w14:textId="77777777" w:rsidR="00D31BF6" w:rsidRPr="00972C76" w:rsidRDefault="00D31BF6" w:rsidP="00D31BF6">
      <w:pPr>
        <w:spacing w:line="255" w:lineRule="exact"/>
        <w:jc w:val="both"/>
        <w:rPr>
          <w:rFonts w:ascii="Arial" w:hAnsi="Arial" w:cs="Arial"/>
          <w:noProof/>
          <w:sz w:val="14"/>
          <w:szCs w:val="14"/>
        </w:rPr>
      </w:pPr>
    </w:p>
    <w:p w14:paraId="179DA9A3" w14:textId="0E131F43" w:rsidR="00BE4E7F" w:rsidRDefault="00BE4E7F" w:rsidP="006B2818">
      <w:pPr>
        <w:spacing w:line="255" w:lineRule="exact"/>
        <w:jc w:val="both"/>
        <w:rPr>
          <w:rFonts w:ascii="Arial" w:hAnsi="Arial" w:cs="Arial"/>
          <w:noProof/>
          <w:sz w:val="14"/>
          <w:szCs w:val="14"/>
        </w:rPr>
      </w:pPr>
    </w:p>
    <w:sectPr w:rsidR="00BE4E7F" w:rsidSect="00E965F0">
      <w:headerReference w:type="default" r:id="rId12"/>
      <w:headerReference w:type="first" r:id="rId13"/>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64E2" w14:textId="77777777" w:rsidR="00877310" w:rsidRDefault="00877310" w:rsidP="00DD1397">
      <w:pPr>
        <w:spacing w:after="0" w:line="240" w:lineRule="auto"/>
      </w:pPr>
      <w:r>
        <w:separator/>
      </w:r>
    </w:p>
  </w:endnote>
  <w:endnote w:type="continuationSeparator" w:id="0">
    <w:p w14:paraId="0CF7B850" w14:textId="77777777" w:rsidR="00877310" w:rsidRDefault="00877310"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35 Light">
    <w:altName w:val="Calibri"/>
    <w:panose1 w:val="00000000000000000000"/>
    <w:charset w:val="00"/>
    <w:family w:val="swiss"/>
    <w:notTrueType/>
    <w:pitch w:val="default"/>
    <w:sig w:usb0="00000003" w:usb1="00000000" w:usb2="00000000" w:usb3="00000000" w:csb0="00000001" w:csb1="00000000"/>
  </w:font>
  <w:font w:name="Morningstar 1">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DCDE" w14:textId="77777777" w:rsidR="00877310" w:rsidRDefault="00877310" w:rsidP="00DD1397">
      <w:pPr>
        <w:spacing w:after="0" w:line="240" w:lineRule="auto"/>
      </w:pPr>
      <w:r>
        <w:separator/>
      </w:r>
    </w:p>
  </w:footnote>
  <w:footnote w:type="continuationSeparator" w:id="0">
    <w:p w14:paraId="575EF00B" w14:textId="77777777" w:rsidR="00877310" w:rsidRDefault="00877310"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11644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mwqAUAcnPrhywAAAA="/>
  </w:docVars>
  <w:rsids>
    <w:rsidRoot w:val="00776144"/>
    <w:rsid w:val="000E2C6F"/>
    <w:rsid w:val="000F7BC1"/>
    <w:rsid w:val="00101618"/>
    <w:rsid w:val="0011419B"/>
    <w:rsid w:val="0012009A"/>
    <w:rsid w:val="00164A7C"/>
    <w:rsid w:val="0019205A"/>
    <w:rsid w:val="001E28B6"/>
    <w:rsid w:val="001F02CF"/>
    <w:rsid w:val="002058D2"/>
    <w:rsid w:val="00255D83"/>
    <w:rsid w:val="00281585"/>
    <w:rsid w:val="002A01D1"/>
    <w:rsid w:val="002B3F0D"/>
    <w:rsid w:val="0031241A"/>
    <w:rsid w:val="0031592C"/>
    <w:rsid w:val="00322F1F"/>
    <w:rsid w:val="00330466"/>
    <w:rsid w:val="00337C0A"/>
    <w:rsid w:val="003614A6"/>
    <w:rsid w:val="00370232"/>
    <w:rsid w:val="00370ECC"/>
    <w:rsid w:val="003B53CF"/>
    <w:rsid w:val="003D453D"/>
    <w:rsid w:val="003F5ACE"/>
    <w:rsid w:val="00454085"/>
    <w:rsid w:val="00461D1F"/>
    <w:rsid w:val="004A23A2"/>
    <w:rsid w:val="004B6351"/>
    <w:rsid w:val="005277F5"/>
    <w:rsid w:val="00593049"/>
    <w:rsid w:val="005F4139"/>
    <w:rsid w:val="00604F59"/>
    <w:rsid w:val="0060712D"/>
    <w:rsid w:val="006154CA"/>
    <w:rsid w:val="0064057A"/>
    <w:rsid w:val="00670F30"/>
    <w:rsid w:val="00693682"/>
    <w:rsid w:val="006A68FD"/>
    <w:rsid w:val="006B2818"/>
    <w:rsid w:val="006B3C05"/>
    <w:rsid w:val="007161A5"/>
    <w:rsid w:val="00724212"/>
    <w:rsid w:val="0074120A"/>
    <w:rsid w:val="007419F5"/>
    <w:rsid w:val="00742443"/>
    <w:rsid w:val="00776144"/>
    <w:rsid w:val="0077737F"/>
    <w:rsid w:val="00795DA6"/>
    <w:rsid w:val="007D4FEC"/>
    <w:rsid w:val="00801C1B"/>
    <w:rsid w:val="00817804"/>
    <w:rsid w:val="0083352E"/>
    <w:rsid w:val="008541B6"/>
    <w:rsid w:val="00862F85"/>
    <w:rsid w:val="00877310"/>
    <w:rsid w:val="00885AF1"/>
    <w:rsid w:val="008B53E0"/>
    <w:rsid w:val="00965EC4"/>
    <w:rsid w:val="009E1DAC"/>
    <w:rsid w:val="00A12D4D"/>
    <w:rsid w:val="00A3447D"/>
    <w:rsid w:val="00A414DC"/>
    <w:rsid w:val="00A414EF"/>
    <w:rsid w:val="00A52F44"/>
    <w:rsid w:val="00A83CCC"/>
    <w:rsid w:val="00AB3830"/>
    <w:rsid w:val="00AB3939"/>
    <w:rsid w:val="00AD66ED"/>
    <w:rsid w:val="00AE0F9A"/>
    <w:rsid w:val="00AF140D"/>
    <w:rsid w:val="00B03C82"/>
    <w:rsid w:val="00B05C04"/>
    <w:rsid w:val="00B42ECB"/>
    <w:rsid w:val="00B52113"/>
    <w:rsid w:val="00B60B5E"/>
    <w:rsid w:val="00B7369E"/>
    <w:rsid w:val="00B80C5D"/>
    <w:rsid w:val="00B83D51"/>
    <w:rsid w:val="00BC0037"/>
    <w:rsid w:val="00BD50C5"/>
    <w:rsid w:val="00BE4E7F"/>
    <w:rsid w:val="00C40553"/>
    <w:rsid w:val="00C7283F"/>
    <w:rsid w:val="00C81F12"/>
    <w:rsid w:val="00C96BEA"/>
    <w:rsid w:val="00CE1776"/>
    <w:rsid w:val="00CF5AE7"/>
    <w:rsid w:val="00D31BF6"/>
    <w:rsid w:val="00D6482C"/>
    <w:rsid w:val="00D735A8"/>
    <w:rsid w:val="00DD1397"/>
    <w:rsid w:val="00DD48AC"/>
    <w:rsid w:val="00E337C3"/>
    <w:rsid w:val="00E3422B"/>
    <w:rsid w:val="00E35C84"/>
    <w:rsid w:val="00E712FE"/>
    <w:rsid w:val="00E965F0"/>
    <w:rsid w:val="00EF600B"/>
    <w:rsid w:val="00F02FE4"/>
    <w:rsid w:val="00FD3FC0"/>
    <w:rsid w:val="00FE7DC2"/>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70F30"/>
    <w:pPr>
      <w:widowControl w:val="0"/>
      <w:autoSpaceDE w:val="0"/>
      <w:autoSpaceDN w:val="0"/>
      <w:spacing w:before="68" w:after="0" w:line="240" w:lineRule="auto"/>
      <w:ind w:left="158"/>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customStyle="1" w:styleId="Pa12">
    <w:name w:val="Pa12"/>
    <w:basedOn w:val="Normal"/>
    <w:next w:val="Normal"/>
    <w:uiPriority w:val="99"/>
    <w:rsid w:val="00101618"/>
    <w:pPr>
      <w:autoSpaceDE w:val="0"/>
      <w:autoSpaceDN w:val="0"/>
      <w:adjustRightInd w:val="0"/>
      <w:spacing w:after="0" w:line="181" w:lineRule="atLeast"/>
    </w:pPr>
    <w:rPr>
      <w:rFonts w:ascii="Avenir LT 35 Light" w:hAnsi="Avenir LT 35 Light"/>
      <w:sz w:val="24"/>
      <w:szCs w:val="24"/>
      <w:lang w:val="en-AU"/>
    </w:rPr>
  </w:style>
  <w:style w:type="character" w:customStyle="1" w:styleId="Heading2Char">
    <w:name w:val="Heading 2 Char"/>
    <w:basedOn w:val="DefaultParagraphFont"/>
    <w:link w:val="Heading2"/>
    <w:uiPriority w:val="9"/>
    <w:semiHidden/>
    <w:rsid w:val="00670F30"/>
    <w:rPr>
      <w:rFonts w:ascii="Arial" w:eastAsia="Arial" w:hAnsi="Arial" w:cs="Arial"/>
      <w:b/>
      <w:bCs/>
      <w:sz w:val="19"/>
      <w:szCs w:val="19"/>
      <w:lang w:bidi="en-US"/>
    </w:rPr>
  </w:style>
  <w:style w:type="character" w:styleId="FollowedHyperlink">
    <w:name w:val="FollowedHyperlink"/>
    <w:basedOn w:val="DefaultParagraphFont"/>
    <w:uiPriority w:val="99"/>
    <w:semiHidden/>
    <w:unhideWhenUsed/>
    <w:rsid w:val="00795D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718556682">
      <w:bodyDiv w:val="1"/>
      <w:marLeft w:val="0"/>
      <w:marRight w:val="0"/>
      <w:marTop w:val="0"/>
      <w:marBottom w:val="0"/>
      <w:divBdr>
        <w:top w:val="none" w:sz="0" w:space="0" w:color="auto"/>
        <w:left w:val="none" w:sz="0" w:space="0" w:color="auto"/>
        <w:bottom w:val="none" w:sz="0" w:space="0" w:color="auto"/>
        <w:right w:val="none" w:sz="0" w:space="0" w:color="auto"/>
      </w:divBdr>
    </w:div>
    <w:div w:id="919170514">
      <w:bodyDiv w:val="1"/>
      <w:marLeft w:val="0"/>
      <w:marRight w:val="0"/>
      <w:marTop w:val="0"/>
      <w:marBottom w:val="0"/>
      <w:divBdr>
        <w:top w:val="none" w:sz="0" w:space="0" w:color="auto"/>
        <w:left w:val="none" w:sz="0" w:space="0" w:color="auto"/>
        <w:bottom w:val="none" w:sz="0" w:space="0" w:color="auto"/>
        <w:right w:val="none" w:sz="0" w:space="0" w:color="auto"/>
      </w:divBdr>
    </w:div>
    <w:div w:id="1163278689">
      <w:bodyDiv w:val="1"/>
      <w:marLeft w:val="0"/>
      <w:marRight w:val="0"/>
      <w:marTop w:val="0"/>
      <w:marBottom w:val="0"/>
      <w:divBdr>
        <w:top w:val="none" w:sz="0" w:space="0" w:color="auto"/>
        <w:left w:val="none" w:sz="0" w:space="0" w:color="auto"/>
        <w:bottom w:val="none" w:sz="0" w:space="0" w:color="auto"/>
        <w:right w:val="none" w:sz="0" w:space="0" w:color="auto"/>
      </w:divBdr>
    </w:div>
    <w:div w:id="1280917523">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586912012">
      <w:bodyDiv w:val="1"/>
      <w:marLeft w:val="0"/>
      <w:marRight w:val="0"/>
      <w:marTop w:val="0"/>
      <w:marBottom w:val="0"/>
      <w:divBdr>
        <w:top w:val="none" w:sz="0" w:space="0" w:color="auto"/>
        <w:left w:val="none" w:sz="0" w:space="0" w:color="auto"/>
        <w:bottom w:val="none" w:sz="0" w:space="0" w:color="auto"/>
        <w:right w:val="none" w:sz="0" w:space="0" w:color="auto"/>
      </w:divBdr>
    </w:div>
    <w:div w:id="1903252514">
      <w:bodyDiv w:val="1"/>
      <w:marLeft w:val="0"/>
      <w:marRight w:val="0"/>
      <w:marTop w:val="0"/>
      <w:marBottom w:val="0"/>
      <w:divBdr>
        <w:top w:val="none" w:sz="0" w:space="0" w:color="auto"/>
        <w:left w:val="none" w:sz="0" w:space="0" w:color="auto"/>
        <w:bottom w:val="none" w:sz="0" w:space="0" w:color="auto"/>
        <w:right w:val="none" w:sz="0" w:space="0" w:color="auto"/>
      </w:divBdr>
    </w:div>
    <w:div w:id="211755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maps.venturafm.com.au/downloads/Add%20your%20own%20custom%20pages%20to%20your%20report%20layouts%20ventura%20rised.pdf" TargetMode="External"/><Relationship Id="rId4" Type="http://schemas.openxmlformats.org/officeDocument/2006/relationships/settings" Target="settings.xml"/><Relationship Id="rId9" Type="http://schemas.openxmlformats.org/officeDocument/2006/relationships/hyperlink" Target="https://vmaps.venturafm.com.au/downloads/Add%20your%20own%20custom%20pages%20to%20your%20report%20layouts%20ventura%20rised.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2022-10-20T00:27:00Z</dcterms:created>
  <dcterms:modified xsi:type="dcterms:W3CDTF">2022-10-20T00:27:00Z</dcterms:modified>
</cp:coreProperties>
</file>